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BDC16" w14:textId="77777777" w:rsidR="009247B3" w:rsidRPr="009247B3" w:rsidRDefault="009247B3" w:rsidP="009247B3">
      <w:pPr>
        <w:autoSpaceDE w:val="0"/>
        <w:autoSpaceDN w:val="0"/>
        <w:adjustRightInd w:val="0"/>
        <w:spacing w:after="0" w:line="240" w:lineRule="auto"/>
        <w:rPr>
          <w:rFonts w:ascii="Arial" w:hAnsi="Arial" w:cs="Arial"/>
          <w:color w:val="000000"/>
          <w:sz w:val="24"/>
          <w:szCs w:val="24"/>
        </w:rPr>
      </w:pPr>
    </w:p>
    <w:p w14:paraId="554FAF99" w14:textId="7349D146" w:rsidR="009247B3" w:rsidRDefault="009247B3" w:rsidP="009247B3">
      <w:pPr>
        <w:autoSpaceDE w:val="0"/>
        <w:autoSpaceDN w:val="0"/>
        <w:adjustRightInd w:val="0"/>
        <w:spacing w:after="0" w:line="240" w:lineRule="auto"/>
        <w:rPr>
          <w:rFonts w:cstheme="minorHAnsi"/>
          <w:color w:val="000000"/>
        </w:rPr>
      </w:pPr>
      <w:r w:rsidRPr="009247B3">
        <w:rPr>
          <w:rFonts w:cstheme="minorHAnsi"/>
          <w:color w:val="000000"/>
        </w:rPr>
        <w:t xml:space="preserve">The </w:t>
      </w:r>
      <w:r w:rsidRPr="009247B3">
        <w:rPr>
          <w:rFonts w:cstheme="minorHAnsi"/>
          <w:b/>
          <w:bCs/>
          <w:color w:val="000000"/>
        </w:rPr>
        <w:t xml:space="preserve">Glasgow Coma Scale (GCS) </w:t>
      </w:r>
      <w:r w:rsidRPr="009247B3">
        <w:rPr>
          <w:rFonts w:cstheme="minorHAnsi"/>
          <w:color w:val="000000"/>
        </w:rPr>
        <w:t>was developed to overcome the misunderstandings and confusion about</w:t>
      </w:r>
      <w:r>
        <w:rPr>
          <w:rFonts w:cstheme="minorHAnsi"/>
          <w:color w:val="000000"/>
        </w:rPr>
        <w:t xml:space="preserve"> </w:t>
      </w:r>
      <w:r w:rsidRPr="009247B3">
        <w:rPr>
          <w:rFonts w:cstheme="minorHAnsi"/>
          <w:color w:val="000000"/>
        </w:rPr>
        <w:t>comatose patients. The GCS is also used to assess neurological tr</w:t>
      </w:r>
      <w:r>
        <w:rPr>
          <w:rFonts w:cstheme="minorHAnsi"/>
          <w:color w:val="000000"/>
        </w:rPr>
        <w:t xml:space="preserve">auma as well as to document and </w:t>
      </w:r>
      <w:r w:rsidRPr="009247B3">
        <w:rPr>
          <w:rFonts w:cstheme="minorHAnsi"/>
          <w:color w:val="000000"/>
        </w:rPr>
        <w:t>predict neurological changes. It is considered the gold standard in this regard and is widely used. Three questions must be answered in regards to unconsciousness and coma with the first addressing eye opening, the second motor function and the third verbal response. Scores range from 3–15 total points with higher scores indicating patients in comatose.</w:t>
      </w:r>
    </w:p>
    <w:p w14:paraId="71EE5A4B" w14:textId="77777777" w:rsidR="009247B3" w:rsidRPr="009247B3" w:rsidRDefault="009247B3" w:rsidP="009247B3">
      <w:pPr>
        <w:autoSpaceDE w:val="0"/>
        <w:autoSpaceDN w:val="0"/>
        <w:adjustRightInd w:val="0"/>
        <w:spacing w:after="0" w:line="240" w:lineRule="auto"/>
        <w:rPr>
          <w:rFonts w:cstheme="minorHAnsi"/>
          <w:color w:val="000000"/>
        </w:rPr>
      </w:pPr>
    </w:p>
    <w:p w14:paraId="683FEDCB" w14:textId="1DFB85FB" w:rsidR="00EA31C1" w:rsidRDefault="00E0618A" w:rsidP="009247B3">
      <w:pPr>
        <w:rPr>
          <w:rFonts w:cstheme="minorHAnsi"/>
        </w:rPr>
      </w:pPr>
      <w:r w:rsidRPr="00E0618A">
        <w:rPr>
          <w:rFonts w:cstheme="minorHAnsi"/>
        </w:rPr>
        <w:t>1.</w:t>
      </w:r>
      <w:r w:rsidR="00D408B8">
        <w:rPr>
          <w:rFonts w:cstheme="minorHAnsi"/>
        </w:rPr>
        <w:t xml:space="preserve"> </w:t>
      </w:r>
      <w:r w:rsidR="00D408B8" w:rsidRPr="00D408B8">
        <w:rPr>
          <w:rFonts w:cstheme="minorHAnsi"/>
        </w:rPr>
        <w:t>Date and time of GCS:</w:t>
      </w:r>
    </w:p>
    <w:p w14:paraId="3D6729DF" w14:textId="6CCC28DB" w:rsidR="00F1051C" w:rsidRDefault="00F1051C" w:rsidP="00F1051C">
      <w:pPr>
        <w:rPr>
          <w:rFonts w:cstheme="minorHAnsi"/>
        </w:rPr>
      </w:pPr>
      <w:r w:rsidRPr="00F1051C">
        <w:rPr>
          <w:rFonts w:cstheme="minorHAnsi"/>
        </w:rPr>
        <w:t xml:space="preserve">2. </w:t>
      </w:r>
      <w:r w:rsidR="00D408B8" w:rsidRPr="00D408B8">
        <w:rPr>
          <w:rFonts w:cstheme="minorHAnsi"/>
        </w:rPr>
        <w:t>Best Eye Response Score</w:t>
      </w:r>
    </w:p>
    <w:p w14:paraId="02C3BB7C" w14:textId="5D9A8269" w:rsidR="00FA5149" w:rsidRDefault="009247B3" w:rsidP="009247B3">
      <w:pPr>
        <w:spacing w:after="0" w:line="240" w:lineRule="auto"/>
        <w:ind w:left="720"/>
        <w:rPr>
          <w:rFonts w:cstheme="minorHAnsi"/>
        </w:rPr>
      </w:pPr>
      <w:r>
        <w:rPr>
          <w:rFonts w:cstheme="minorHAnsi"/>
        </w:rPr>
        <w:t xml:space="preserve">_ </w:t>
      </w:r>
      <w:r w:rsidR="00FA5149">
        <w:rPr>
          <w:rFonts w:cstheme="minorHAnsi"/>
        </w:rPr>
        <w:t xml:space="preserve">1. </w:t>
      </w:r>
      <w:r w:rsidR="00FA5149" w:rsidRPr="00FA5149">
        <w:rPr>
          <w:rFonts w:cstheme="minorHAnsi"/>
        </w:rPr>
        <w:t>No eye opening</w:t>
      </w:r>
    </w:p>
    <w:p w14:paraId="7BE55105" w14:textId="4438B9FA" w:rsidR="00FA5149" w:rsidRDefault="009247B3" w:rsidP="009247B3">
      <w:pPr>
        <w:spacing w:after="0" w:line="240" w:lineRule="auto"/>
        <w:ind w:left="720"/>
        <w:rPr>
          <w:rFonts w:cstheme="minorHAnsi"/>
        </w:rPr>
      </w:pPr>
      <w:r>
        <w:rPr>
          <w:rFonts w:cstheme="minorHAnsi"/>
        </w:rPr>
        <w:t xml:space="preserve">_ </w:t>
      </w:r>
      <w:r w:rsidR="00FA5149">
        <w:rPr>
          <w:rFonts w:cstheme="minorHAnsi"/>
        </w:rPr>
        <w:t xml:space="preserve">2. </w:t>
      </w:r>
      <w:r w:rsidR="00FA5149" w:rsidRPr="00FA5149">
        <w:rPr>
          <w:rFonts w:cstheme="minorHAnsi"/>
        </w:rPr>
        <w:t>Eye opening to pain</w:t>
      </w:r>
    </w:p>
    <w:p w14:paraId="4BFF7E53" w14:textId="6B5A625A" w:rsidR="00FA5149" w:rsidRDefault="009247B3" w:rsidP="009247B3">
      <w:pPr>
        <w:spacing w:after="0" w:line="240" w:lineRule="auto"/>
        <w:ind w:left="720"/>
        <w:rPr>
          <w:rFonts w:cstheme="minorHAnsi"/>
        </w:rPr>
      </w:pPr>
      <w:r>
        <w:rPr>
          <w:rFonts w:cstheme="minorHAnsi"/>
        </w:rPr>
        <w:t xml:space="preserve">_ </w:t>
      </w:r>
      <w:r w:rsidR="00FA5149">
        <w:rPr>
          <w:rFonts w:cstheme="minorHAnsi"/>
        </w:rPr>
        <w:t xml:space="preserve">3. </w:t>
      </w:r>
      <w:r w:rsidR="00FA5149" w:rsidRPr="00FA5149">
        <w:rPr>
          <w:rFonts w:cstheme="minorHAnsi"/>
        </w:rPr>
        <w:t>Eye opening to verbal command</w:t>
      </w:r>
    </w:p>
    <w:p w14:paraId="7B97B651" w14:textId="7FE41CC9" w:rsidR="00F1051C" w:rsidRPr="00F1051C" w:rsidRDefault="009247B3" w:rsidP="009247B3">
      <w:pPr>
        <w:ind w:left="720"/>
        <w:rPr>
          <w:rFonts w:cstheme="minorHAnsi"/>
        </w:rPr>
      </w:pPr>
      <w:r>
        <w:rPr>
          <w:rFonts w:cstheme="minorHAnsi"/>
        </w:rPr>
        <w:t xml:space="preserve">_ </w:t>
      </w:r>
      <w:r w:rsidR="00FA5149">
        <w:rPr>
          <w:rFonts w:cstheme="minorHAnsi"/>
        </w:rPr>
        <w:t xml:space="preserve">4. </w:t>
      </w:r>
      <w:r w:rsidR="00FA5149" w:rsidRPr="00FA5149">
        <w:rPr>
          <w:rFonts w:cstheme="minorHAnsi"/>
        </w:rPr>
        <w:t>Eyes open spontaneously</w:t>
      </w:r>
    </w:p>
    <w:p w14:paraId="39BE3743" w14:textId="163A36C2" w:rsidR="00F1051C" w:rsidRDefault="000A795F" w:rsidP="00F1051C">
      <w:pPr>
        <w:rPr>
          <w:rFonts w:cstheme="minorHAnsi"/>
        </w:rPr>
      </w:pPr>
      <w:r>
        <w:rPr>
          <w:rFonts w:cstheme="minorHAnsi"/>
        </w:rPr>
        <w:t xml:space="preserve">3. </w:t>
      </w:r>
      <w:r w:rsidR="00FA5149" w:rsidRPr="000A795F">
        <w:rPr>
          <w:rFonts w:cstheme="minorHAnsi"/>
        </w:rPr>
        <w:t>Best Verbal Response Score</w:t>
      </w:r>
    </w:p>
    <w:p w14:paraId="4B3F7684" w14:textId="157ECE49" w:rsidR="006A6F2E" w:rsidRPr="006A6F2E" w:rsidRDefault="009247B3" w:rsidP="009247B3">
      <w:pPr>
        <w:spacing w:after="0" w:line="240" w:lineRule="auto"/>
        <w:ind w:left="720"/>
        <w:rPr>
          <w:rFonts w:cstheme="minorHAnsi"/>
        </w:rPr>
      </w:pPr>
      <w:r>
        <w:rPr>
          <w:rFonts w:cstheme="minorHAnsi"/>
        </w:rPr>
        <w:t xml:space="preserve">_ </w:t>
      </w:r>
      <w:r w:rsidR="006A6F2E">
        <w:rPr>
          <w:rFonts w:cstheme="minorHAnsi"/>
        </w:rPr>
        <w:t xml:space="preserve">1. </w:t>
      </w:r>
      <w:r w:rsidR="006A6F2E" w:rsidRPr="006A6F2E">
        <w:rPr>
          <w:rFonts w:cstheme="minorHAnsi"/>
        </w:rPr>
        <w:t>No verbal response</w:t>
      </w:r>
    </w:p>
    <w:p w14:paraId="5CB2864F" w14:textId="253981F7" w:rsidR="006A6F2E" w:rsidRPr="006A6F2E" w:rsidRDefault="009247B3" w:rsidP="009247B3">
      <w:pPr>
        <w:spacing w:after="0" w:line="240" w:lineRule="auto"/>
        <w:ind w:left="720"/>
        <w:rPr>
          <w:rFonts w:cstheme="minorHAnsi"/>
        </w:rPr>
      </w:pPr>
      <w:r>
        <w:rPr>
          <w:rFonts w:cstheme="minorHAnsi"/>
        </w:rPr>
        <w:t xml:space="preserve">_ </w:t>
      </w:r>
      <w:r w:rsidR="006A6F2E">
        <w:rPr>
          <w:rFonts w:cstheme="minorHAnsi"/>
        </w:rPr>
        <w:t xml:space="preserve">2. </w:t>
      </w:r>
      <w:r w:rsidR="006A6F2E" w:rsidRPr="006A6F2E">
        <w:rPr>
          <w:rFonts w:cstheme="minorHAnsi"/>
        </w:rPr>
        <w:t>Incomprehensible sounds</w:t>
      </w:r>
    </w:p>
    <w:p w14:paraId="47D7752B" w14:textId="4F9C8E48" w:rsidR="006A6F2E" w:rsidRPr="006A6F2E" w:rsidRDefault="009247B3" w:rsidP="009247B3">
      <w:pPr>
        <w:spacing w:after="0" w:line="240" w:lineRule="auto"/>
        <w:ind w:left="720"/>
        <w:rPr>
          <w:rFonts w:cstheme="minorHAnsi"/>
        </w:rPr>
      </w:pPr>
      <w:r>
        <w:rPr>
          <w:rFonts w:cstheme="minorHAnsi"/>
        </w:rPr>
        <w:t xml:space="preserve">_ </w:t>
      </w:r>
      <w:r w:rsidR="006A6F2E">
        <w:rPr>
          <w:rFonts w:cstheme="minorHAnsi"/>
        </w:rPr>
        <w:t xml:space="preserve">3. </w:t>
      </w:r>
      <w:r w:rsidR="006A6F2E" w:rsidRPr="006A6F2E">
        <w:rPr>
          <w:rFonts w:cstheme="minorHAnsi"/>
        </w:rPr>
        <w:t>Inappropriate words</w:t>
      </w:r>
    </w:p>
    <w:p w14:paraId="2FB6BEC0" w14:textId="7D60C172" w:rsidR="006A6F2E" w:rsidRPr="006A6F2E" w:rsidRDefault="009247B3" w:rsidP="009247B3">
      <w:pPr>
        <w:spacing w:after="0" w:line="240" w:lineRule="auto"/>
        <w:ind w:left="720"/>
        <w:rPr>
          <w:rFonts w:cstheme="minorHAnsi"/>
        </w:rPr>
      </w:pPr>
      <w:r>
        <w:rPr>
          <w:rFonts w:cstheme="minorHAnsi"/>
        </w:rPr>
        <w:t xml:space="preserve">_ </w:t>
      </w:r>
      <w:r w:rsidR="006A6F2E">
        <w:rPr>
          <w:rFonts w:cstheme="minorHAnsi"/>
        </w:rPr>
        <w:t xml:space="preserve">4. </w:t>
      </w:r>
      <w:r w:rsidR="006A6F2E" w:rsidRPr="006A6F2E">
        <w:rPr>
          <w:rFonts w:cstheme="minorHAnsi"/>
        </w:rPr>
        <w:t>Confused</w:t>
      </w:r>
    </w:p>
    <w:p w14:paraId="5948C432" w14:textId="47578F2B" w:rsidR="00F1051C" w:rsidRPr="00F1051C" w:rsidRDefault="009247B3" w:rsidP="009247B3">
      <w:pPr>
        <w:ind w:left="720"/>
        <w:rPr>
          <w:rFonts w:cstheme="minorHAnsi"/>
        </w:rPr>
      </w:pPr>
      <w:r>
        <w:rPr>
          <w:rFonts w:cstheme="minorHAnsi"/>
        </w:rPr>
        <w:t xml:space="preserve">_ </w:t>
      </w:r>
      <w:r w:rsidR="006A6F2E">
        <w:rPr>
          <w:rFonts w:cstheme="minorHAnsi"/>
        </w:rPr>
        <w:t xml:space="preserve">5. </w:t>
      </w:r>
      <w:r w:rsidR="006A6F2E" w:rsidRPr="006A6F2E">
        <w:rPr>
          <w:rFonts w:cstheme="minorHAnsi"/>
        </w:rPr>
        <w:t>Oriented</w:t>
      </w:r>
    </w:p>
    <w:p w14:paraId="515AEAB8" w14:textId="4C405E3A" w:rsidR="00F1051C" w:rsidRDefault="001C35F7" w:rsidP="00F1051C">
      <w:pPr>
        <w:rPr>
          <w:rFonts w:cstheme="minorHAnsi"/>
        </w:rPr>
      </w:pPr>
      <w:r>
        <w:rPr>
          <w:rFonts w:cstheme="minorHAnsi"/>
        </w:rPr>
        <w:t xml:space="preserve">4. </w:t>
      </w:r>
      <w:r w:rsidRPr="001C35F7">
        <w:rPr>
          <w:rFonts w:cstheme="minorHAnsi"/>
        </w:rPr>
        <w:t>Best Motor Response Score</w:t>
      </w:r>
    </w:p>
    <w:p w14:paraId="7168C73A" w14:textId="2627F6F7" w:rsidR="00FE3CC8" w:rsidRPr="00FE3CC8" w:rsidRDefault="009247B3" w:rsidP="009247B3">
      <w:pPr>
        <w:spacing w:after="0" w:line="240" w:lineRule="auto"/>
        <w:ind w:left="720"/>
        <w:rPr>
          <w:rFonts w:cstheme="minorHAnsi"/>
        </w:rPr>
      </w:pPr>
      <w:r>
        <w:rPr>
          <w:rFonts w:cstheme="minorHAnsi"/>
        </w:rPr>
        <w:t xml:space="preserve">_ </w:t>
      </w:r>
      <w:r w:rsidR="00FE3CC8">
        <w:rPr>
          <w:rFonts w:cstheme="minorHAnsi"/>
        </w:rPr>
        <w:t xml:space="preserve">1. </w:t>
      </w:r>
      <w:r w:rsidR="00FE3CC8" w:rsidRPr="00FE3CC8">
        <w:rPr>
          <w:rFonts w:cstheme="minorHAnsi"/>
        </w:rPr>
        <w:t>No motor response</w:t>
      </w:r>
    </w:p>
    <w:p w14:paraId="5BAFF4EE" w14:textId="60ECDA27" w:rsidR="00FE3CC8" w:rsidRPr="00FE3CC8" w:rsidRDefault="009247B3" w:rsidP="009247B3">
      <w:pPr>
        <w:spacing w:after="0" w:line="240" w:lineRule="auto"/>
        <w:ind w:left="720"/>
        <w:rPr>
          <w:rFonts w:cstheme="minorHAnsi"/>
        </w:rPr>
      </w:pPr>
      <w:r>
        <w:rPr>
          <w:rFonts w:cstheme="minorHAnsi"/>
        </w:rPr>
        <w:t xml:space="preserve">_ </w:t>
      </w:r>
      <w:r w:rsidR="00FE3CC8">
        <w:rPr>
          <w:rFonts w:cstheme="minorHAnsi"/>
        </w:rPr>
        <w:t xml:space="preserve">2. </w:t>
      </w:r>
      <w:r w:rsidR="00FE3CC8" w:rsidRPr="00FE3CC8">
        <w:rPr>
          <w:rFonts w:cstheme="minorHAnsi"/>
        </w:rPr>
        <w:t>Extension to pain</w:t>
      </w:r>
    </w:p>
    <w:p w14:paraId="085427DB" w14:textId="55D93F21" w:rsidR="00FE3CC8" w:rsidRPr="00FE3CC8" w:rsidRDefault="009247B3" w:rsidP="009247B3">
      <w:pPr>
        <w:spacing w:after="0" w:line="240" w:lineRule="auto"/>
        <w:ind w:left="720"/>
        <w:rPr>
          <w:rFonts w:cstheme="minorHAnsi"/>
        </w:rPr>
      </w:pPr>
      <w:r>
        <w:rPr>
          <w:rFonts w:cstheme="minorHAnsi"/>
        </w:rPr>
        <w:t xml:space="preserve">_ </w:t>
      </w:r>
      <w:r w:rsidR="00FE3CC8">
        <w:rPr>
          <w:rFonts w:cstheme="minorHAnsi"/>
        </w:rPr>
        <w:t xml:space="preserve">3. </w:t>
      </w:r>
      <w:r w:rsidR="00FE3CC8" w:rsidRPr="00FE3CC8">
        <w:rPr>
          <w:rFonts w:cstheme="minorHAnsi"/>
        </w:rPr>
        <w:t>Flexion to pain</w:t>
      </w:r>
    </w:p>
    <w:p w14:paraId="1F89A46C" w14:textId="60C3CDB8" w:rsidR="00FE3CC8" w:rsidRPr="00FE3CC8" w:rsidRDefault="009247B3" w:rsidP="009247B3">
      <w:pPr>
        <w:spacing w:after="0" w:line="240" w:lineRule="auto"/>
        <w:ind w:left="720"/>
        <w:rPr>
          <w:rFonts w:cstheme="minorHAnsi"/>
        </w:rPr>
      </w:pPr>
      <w:r>
        <w:rPr>
          <w:rFonts w:cstheme="minorHAnsi"/>
        </w:rPr>
        <w:t xml:space="preserve">_ </w:t>
      </w:r>
      <w:r w:rsidR="00FE3CC8">
        <w:rPr>
          <w:rFonts w:cstheme="minorHAnsi"/>
        </w:rPr>
        <w:t xml:space="preserve">4. </w:t>
      </w:r>
      <w:r w:rsidR="00FE3CC8" w:rsidRPr="00FE3CC8">
        <w:rPr>
          <w:rFonts w:cstheme="minorHAnsi"/>
        </w:rPr>
        <w:t>Withdrawal from pain</w:t>
      </w:r>
    </w:p>
    <w:p w14:paraId="7E758EFC" w14:textId="78D2C41E" w:rsidR="00FE3CC8" w:rsidRPr="00FE3CC8" w:rsidRDefault="009247B3" w:rsidP="009247B3">
      <w:pPr>
        <w:spacing w:after="0" w:line="240" w:lineRule="auto"/>
        <w:ind w:left="720"/>
        <w:rPr>
          <w:rFonts w:cstheme="minorHAnsi"/>
        </w:rPr>
      </w:pPr>
      <w:r>
        <w:rPr>
          <w:rFonts w:cstheme="minorHAnsi"/>
        </w:rPr>
        <w:t xml:space="preserve">_ </w:t>
      </w:r>
      <w:r w:rsidR="00FE3CC8">
        <w:rPr>
          <w:rFonts w:cstheme="minorHAnsi"/>
        </w:rPr>
        <w:t xml:space="preserve">5. </w:t>
      </w:r>
      <w:r w:rsidR="00FE3CC8" w:rsidRPr="00FE3CC8">
        <w:rPr>
          <w:rFonts w:cstheme="minorHAnsi"/>
        </w:rPr>
        <w:t>Localizing pain</w:t>
      </w:r>
    </w:p>
    <w:p w14:paraId="5B70B7A0" w14:textId="39D26818" w:rsidR="00F1051C" w:rsidRPr="00F1051C" w:rsidRDefault="009247B3" w:rsidP="009247B3">
      <w:pPr>
        <w:tabs>
          <w:tab w:val="left" w:pos="2070"/>
          <w:tab w:val="left" w:pos="3870"/>
          <w:tab w:val="left" w:pos="6030"/>
          <w:tab w:val="left" w:pos="7560"/>
        </w:tabs>
        <w:ind w:left="720"/>
        <w:rPr>
          <w:rFonts w:cstheme="minorHAnsi"/>
        </w:rPr>
      </w:pPr>
      <w:r>
        <w:rPr>
          <w:rFonts w:cstheme="minorHAnsi"/>
        </w:rPr>
        <w:t xml:space="preserve">_ </w:t>
      </w:r>
      <w:r w:rsidR="00FE3CC8">
        <w:rPr>
          <w:rFonts w:cstheme="minorHAnsi"/>
        </w:rPr>
        <w:t xml:space="preserve">6. </w:t>
      </w:r>
      <w:r w:rsidR="00FE3CC8" w:rsidRPr="00FE3CC8">
        <w:rPr>
          <w:rFonts w:cstheme="minorHAnsi"/>
        </w:rPr>
        <w:t>Obeys commands</w:t>
      </w:r>
    </w:p>
    <w:p w14:paraId="05FFCE02" w14:textId="6D2B7F8D" w:rsidR="00F1051C" w:rsidRPr="00F1051C" w:rsidRDefault="007F2862" w:rsidP="007F2862">
      <w:pPr>
        <w:rPr>
          <w:rFonts w:cstheme="minorHAnsi"/>
        </w:rPr>
      </w:pPr>
      <w:r>
        <w:rPr>
          <w:rFonts w:cstheme="minorHAnsi"/>
        </w:rPr>
        <w:t xml:space="preserve">5. Total Score </w:t>
      </w:r>
      <w:r w:rsidRPr="007F2862">
        <w:rPr>
          <w:rFonts w:cstheme="minorHAnsi"/>
        </w:rPr>
        <w:t>(3–15; calculated field)</w:t>
      </w:r>
      <w:r>
        <w:rPr>
          <w:rFonts w:cstheme="minorHAnsi"/>
        </w:rPr>
        <w:t xml:space="preserve">: </w:t>
      </w:r>
      <w:r w:rsidR="009247B3">
        <w:rPr>
          <w:rFonts w:cstheme="minorHAnsi"/>
        </w:rPr>
        <w:t xml:space="preserve"> </w:t>
      </w:r>
    </w:p>
    <w:p w14:paraId="68BEAAD2" w14:textId="5B7D2866" w:rsidR="00E73654" w:rsidRDefault="00E73654" w:rsidP="00AF7B41">
      <w:pPr>
        <w:rPr>
          <w:rFonts w:cstheme="minorHAnsi"/>
        </w:rPr>
      </w:pPr>
    </w:p>
    <w:p w14:paraId="6B83AB1E" w14:textId="2C0729B2" w:rsidR="009247B3" w:rsidRDefault="009247B3" w:rsidP="009247B3">
      <w:pPr>
        <w:spacing w:after="0" w:line="240" w:lineRule="auto"/>
        <w:rPr>
          <w:rFonts w:cstheme="minorHAnsi"/>
        </w:rPr>
      </w:pPr>
      <w:r>
        <w:rPr>
          <w:rFonts w:cstheme="minorHAnsi"/>
        </w:rPr>
        <w:t>Notes:</w:t>
      </w:r>
    </w:p>
    <w:p w14:paraId="6F93E041" w14:textId="51A2367A" w:rsidR="009247B3" w:rsidRPr="009247B3" w:rsidRDefault="009247B3" w:rsidP="009247B3">
      <w:pPr>
        <w:spacing w:after="0" w:line="240" w:lineRule="auto"/>
        <w:rPr>
          <w:rFonts w:cstheme="minorHAnsi"/>
        </w:rPr>
      </w:pPr>
      <w:r w:rsidRPr="009247B3">
        <w:rPr>
          <w:rFonts w:cstheme="minorHAnsi"/>
        </w:rPr>
        <w:t xml:space="preserve">The Pediatric Glasgow Coma Scale (PGCS) is a modified form of the GCS and is also comprised of three </w:t>
      </w:r>
    </w:p>
    <w:p w14:paraId="29D74FA2" w14:textId="170F1D85" w:rsidR="009247B3" w:rsidRPr="00772FE3" w:rsidRDefault="009247B3" w:rsidP="009247B3">
      <w:pPr>
        <w:spacing w:after="0" w:line="240" w:lineRule="auto"/>
        <w:rPr>
          <w:rFonts w:cstheme="minorHAnsi"/>
        </w:rPr>
      </w:pPr>
      <w:r w:rsidRPr="009247B3">
        <w:rPr>
          <w:rFonts w:cstheme="minorHAnsi"/>
        </w:rPr>
        <w:t>tests: eye, verbal and motor responses</w:t>
      </w:r>
    </w:p>
    <w:p w14:paraId="74BAFB03" w14:textId="77777777" w:rsidR="009247B3" w:rsidRDefault="009247B3" w:rsidP="009247B3">
      <w:pPr>
        <w:spacing w:after="0" w:line="240" w:lineRule="auto"/>
        <w:rPr>
          <w:rFonts w:cstheme="minorHAnsi"/>
        </w:rPr>
      </w:pPr>
    </w:p>
    <w:p w14:paraId="6B46DDAE" w14:textId="3E6CF335" w:rsidR="003D65D1" w:rsidRPr="003E5803" w:rsidRDefault="009247B3" w:rsidP="009247B3">
      <w:pPr>
        <w:spacing w:after="0" w:line="240" w:lineRule="auto"/>
        <w:rPr>
          <w:rFonts w:cstheme="minorHAnsi"/>
        </w:rPr>
      </w:pPr>
      <w:r>
        <w:rPr>
          <w:rFonts w:cstheme="minorHAnsi"/>
        </w:rPr>
        <w:t>Reference</w:t>
      </w:r>
      <w:r w:rsidR="00AF7B41" w:rsidRPr="00772FE3">
        <w:rPr>
          <w:rFonts w:cstheme="minorHAnsi"/>
        </w:rPr>
        <w:t>:</w:t>
      </w:r>
    </w:p>
    <w:p w14:paraId="468FAAFF" w14:textId="57FE7611" w:rsidR="007F2862" w:rsidRDefault="006913A3" w:rsidP="009247B3">
      <w:pPr>
        <w:spacing w:after="0" w:line="240" w:lineRule="auto"/>
        <w:rPr>
          <w:rFonts w:cstheme="minorHAnsi"/>
        </w:rPr>
      </w:pPr>
      <w:r w:rsidRPr="006913A3">
        <w:rPr>
          <w:rFonts w:cstheme="minorHAnsi"/>
        </w:rPr>
        <w:t>Teasdale</w:t>
      </w:r>
      <w:r>
        <w:rPr>
          <w:rFonts w:cstheme="minorHAnsi"/>
        </w:rPr>
        <w:t>,</w:t>
      </w:r>
      <w:r w:rsidRPr="006913A3">
        <w:rPr>
          <w:rFonts w:cstheme="minorHAnsi"/>
        </w:rPr>
        <w:t xml:space="preserve"> G</w:t>
      </w:r>
      <w:r>
        <w:rPr>
          <w:rFonts w:cstheme="minorHAnsi"/>
        </w:rPr>
        <w:t>.</w:t>
      </w:r>
      <w:r w:rsidRPr="006913A3">
        <w:rPr>
          <w:rFonts w:cstheme="minorHAnsi"/>
        </w:rPr>
        <w:t>, Maas</w:t>
      </w:r>
      <w:r>
        <w:rPr>
          <w:rFonts w:cstheme="minorHAnsi"/>
        </w:rPr>
        <w:t>,</w:t>
      </w:r>
      <w:r w:rsidRPr="006913A3">
        <w:rPr>
          <w:rFonts w:cstheme="minorHAnsi"/>
        </w:rPr>
        <w:t xml:space="preserve"> A</w:t>
      </w:r>
      <w:r>
        <w:rPr>
          <w:rFonts w:cstheme="minorHAnsi"/>
        </w:rPr>
        <w:t>.</w:t>
      </w:r>
      <w:r w:rsidRPr="006913A3">
        <w:rPr>
          <w:rFonts w:cstheme="minorHAnsi"/>
        </w:rPr>
        <w:t>, Lecky</w:t>
      </w:r>
      <w:r>
        <w:rPr>
          <w:rFonts w:cstheme="minorHAnsi"/>
        </w:rPr>
        <w:t>,</w:t>
      </w:r>
      <w:r w:rsidRPr="006913A3">
        <w:rPr>
          <w:rFonts w:cstheme="minorHAnsi"/>
        </w:rPr>
        <w:t xml:space="preserve"> F</w:t>
      </w:r>
      <w:r>
        <w:rPr>
          <w:rFonts w:cstheme="minorHAnsi"/>
        </w:rPr>
        <w:t>.</w:t>
      </w:r>
      <w:r w:rsidRPr="006913A3">
        <w:rPr>
          <w:rFonts w:cstheme="minorHAnsi"/>
        </w:rPr>
        <w:t>, Manley</w:t>
      </w:r>
      <w:r>
        <w:rPr>
          <w:rFonts w:cstheme="minorHAnsi"/>
        </w:rPr>
        <w:t>,</w:t>
      </w:r>
      <w:r w:rsidRPr="006913A3">
        <w:rPr>
          <w:rFonts w:cstheme="minorHAnsi"/>
        </w:rPr>
        <w:t xml:space="preserve"> G</w:t>
      </w:r>
      <w:r>
        <w:rPr>
          <w:rFonts w:cstheme="minorHAnsi"/>
        </w:rPr>
        <w:t>.</w:t>
      </w:r>
      <w:r w:rsidRPr="006913A3">
        <w:rPr>
          <w:rFonts w:cstheme="minorHAnsi"/>
        </w:rPr>
        <w:t xml:space="preserve">, </w:t>
      </w:r>
      <w:proofErr w:type="spellStart"/>
      <w:r w:rsidRPr="006913A3">
        <w:rPr>
          <w:rFonts w:cstheme="minorHAnsi"/>
        </w:rPr>
        <w:t>Stocchetti</w:t>
      </w:r>
      <w:proofErr w:type="spellEnd"/>
      <w:r>
        <w:rPr>
          <w:rFonts w:cstheme="minorHAnsi"/>
        </w:rPr>
        <w:t>,</w:t>
      </w:r>
      <w:r w:rsidRPr="006913A3">
        <w:rPr>
          <w:rFonts w:cstheme="minorHAnsi"/>
        </w:rPr>
        <w:t xml:space="preserve"> N</w:t>
      </w:r>
      <w:r>
        <w:rPr>
          <w:rFonts w:cstheme="minorHAnsi"/>
        </w:rPr>
        <w:t>.</w:t>
      </w:r>
      <w:r w:rsidRPr="006913A3">
        <w:rPr>
          <w:rFonts w:cstheme="minorHAnsi"/>
        </w:rPr>
        <w:t xml:space="preserve">, </w:t>
      </w:r>
      <w:r>
        <w:rPr>
          <w:rFonts w:cstheme="minorHAnsi"/>
        </w:rPr>
        <w:t xml:space="preserve">&amp; </w:t>
      </w:r>
      <w:r w:rsidRPr="006913A3">
        <w:rPr>
          <w:rFonts w:cstheme="minorHAnsi"/>
        </w:rPr>
        <w:t>Murray</w:t>
      </w:r>
      <w:r>
        <w:rPr>
          <w:rFonts w:cstheme="minorHAnsi"/>
        </w:rPr>
        <w:t>,</w:t>
      </w:r>
      <w:r w:rsidRPr="006913A3">
        <w:rPr>
          <w:rFonts w:cstheme="minorHAnsi"/>
        </w:rPr>
        <w:t xml:space="preserve"> G.</w:t>
      </w:r>
      <w:r>
        <w:rPr>
          <w:rFonts w:cstheme="minorHAnsi"/>
        </w:rPr>
        <w:t xml:space="preserve"> (2014).</w:t>
      </w:r>
      <w:r w:rsidRPr="006913A3">
        <w:rPr>
          <w:rFonts w:cstheme="minorHAnsi"/>
        </w:rPr>
        <w:t xml:space="preserve"> The Glasgow Coma Scale at 40 years: standing the test of time. </w:t>
      </w:r>
      <w:r w:rsidRPr="006913A3">
        <w:rPr>
          <w:rFonts w:cstheme="minorHAnsi"/>
          <w:i/>
        </w:rPr>
        <w:t>The Lancet Neurology, 13</w:t>
      </w:r>
      <w:r w:rsidRPr="006913A3">
        <w:rPr>
          <w:rFonts w:cstheme="minorHAnsi"/>
        </w:rPr>
        <w:t>(8), 844–854.</w:t>
      </w:r>
    </w:p>
    <w:p w14:paraId="58044F41" w14:textId="38614BBA" w:rsidR="00C807FF" w:rsidRDefault="00C807FF" w:rsidP="009247B3">
      <w:pPr>
        <w:spacing w:after="0" w:line="240" w:lineRule="auto"/>
        <w:rPr>
          <w:rFonts w:cstheme="minorHAnsi"/>
        </w:rPr>
      </w:pPr>
    </w:p>
    <w:p w14:paraId="0636AF2F" w14:textId="77777777" w:rsidR="00C807FF" w:rsidRDefault="00C807FF" w:rsidP="009247B3">
      <w:pPr>
        <w:spacing w:after="0" w:line="240" w:lineRule="auto"/>
        <w:rPr>
          <w:rFonts w:cstheme="minorHAnsi"/>
        </w:rPr>
      </w:pPr>
    </w:p>
    <w:p w14:paraId="07A2F39E" w14:textId="549228DE" w:rsidR="00C807FF" w:rsidRDefault="00C807FF" w:rsidP="009247B3">
      <w:pPr>
        <w:spacing w:after="0" w:line="240" w:lineRule="auto"/>
        <w:rPr>
          <w:rFonts w:cstheme="minorHAnsi"/>
        </w:rPr>
      </w:pPr>
      <w:r>
        <w:rPr>
          <w:rFonts w:cstheme="minorHAnsi"/>
        </w:rPr>
        <w:lastRenderedPageBreak/>
        <w:t>Copyright Information:</w:t>
      </w:r>
    </w:p>
    <w:p w14:paraId="129131ED" w14:textId="77777777" w:rsidR="00C807FF" w:rsidRDefault="00C807FF" w:rsidP="00C807FF">
      <w:pPr>
        <w:spacing w:after="0" w:line="240" w:lineRule="auto"/>
        <w:rPr>
          <w:rFonts w:cstheme="minorHAnsi"/>
        </w:rPr>
      </w:pPr>
    </w:p>
    <w:p w14:paraId="2FDCFFF3" w14:textId="2E2312B3" w:rsidR="00C807FF" w:rsidRPr="00C807FF" w:rsidRDefault="00C807FF" w:rsidP="00C807FF">
      <w:pPr>
        <w:spacing w:after="0" w:line="240" w:lineRule="auto"/>
        <w:rPr>
          <w:rFonts w:cstheme="minorHAnsi"/>
        </w:rPr>
      </w:pPr>
      <w:r w:rsidRPr="00C807FF">
        <w:rPr>
          <w:rFonts w:cstheme="minorHAnsi"/>
        </w:rPr>
        <w:t>The Glasgow Coma Scale (GCS) is protected by copyright owned by The University of Glasgow.</w:t>
      </w:r>
    </w:p>
    <w:p w14:paraId="4C53C95F" w14:textId="77777777" w:rsidR="00C807FF" w:rsidRPr="00C807FF" w:rsidRDefault="00C807FF" w:rsidP="00C807FF">
      <w:pPr>
        <w:spacing w:after="0" w:line="240" w:lineRule="auto"/>
        <w:rPr>
          <w:rFonts w:cstheme="minorHAnsi"/>
        </w:rPr>
      </w:pPr>
      <w:r w:rsidRPr="00C807FF">
        <w:rPr>
          <w:rFonts w:cstheme="minorHAnsi"/>
        </w:rPr>
        <w:t>Please review the permission information in this link: https://www.glasgowcomascale.org/permissions/.</w:t>
      </w:r>
    </w:p>
    <w:p w14:paraId="45610EEA" w14:textId="77777777" w:rsidR="00C807FF" w:rsidRPr="00C807FF" w:rsidRDefault="00C807FF" w:rsidP="00C807FF">
      <w:pPr>
        <w:spacing w:after="0" w:line="240" w:lineRule="auto"/>
        <w:rPr>
          <w:rFonts w:cstheme="minorHAnsi"/>
        </w:rPr>
      </w:pPr>
      <w:r w:rsidRPr="00C807FF">
        <w:rPr>
          <w:rFonts w:cstheme="minorHAnsi"/>
        </w:rPr>
        <w:t>Please keep this information for your records.</w:t>
      </w:r>
    </w:p>
    <w:p w14:paraId="43D16EBD" w14:textId="76D53A64" w:rsidR="00C807FF" w:rsidRPr="007F2862" w:rsidRDefault="00C807FF" w:rsidP="00C807FF">
      <w:pPr>
        <w:spacing w:after="0" w:line="240" w:lineRule="auto"/>
        <w:rPr>
          <w:rFonts w:cstheme="minorHAnsi"/>
        </w:rPr>
      </w:pPr>
      <w:r w:rsidRPr="00C807FF">
        <w:rPr>
          <w:rFonts w:cstheme="minorHAnsi"/>
        </w:rPr>
        <w:t>We request your cooperation in citing t</w:t>
      </w:r>
      <w:bookmarkStart w:id="0" w:name="_GoBack"/>
      <w:bookmarkEnd w:id="0"/>
      <w:r w:rsidRPr="00C807FF">
        <w:rPr>
          <w:rFonts w:cstheme="minorHAnsi"/>
        </w:rPr>
        <w:t>he measure</w:t>
      </w:r>
      <w:r>
        <w:rPr>
          <w:rFonts w:cstheme="minorHAnsi"/>
        </w:rPr>
        <w:t>.</w:t>
      </w:r>
    </w:p>
    <w:sectPr w:rsidR="00C807FF" w:rsidRPr="007F28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380D1" w14:textId="77777777" w:rsidR="009C5F71" w:rsidRDefault="009C5F71" w:rsidP="00D627AC">
      <w:pPr>
        <w:spacing w:after="0" w:line="240" w:lineRule="auto"/>
      </w:pPr>
      <w:r>
        <w:separator/>
      </w:r>
    </w:p>
  </w:endnote>
  <w:endnote w:type="continuationSeparator" w:id="0">
    <w:p w14:paraId="1F1E3A0A" w14:textId="77777777" w:rsidR="009C5F71" w:rsidRDefault="009C5F71"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2FB9" w14:textId="0EEB5001"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9247B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247B3">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6ABE2" w14:textId="77777777" w:rsidR="009C5F71" w:rsidRDefault="009C5F71" w:rsidP="00D627AC">
      <w:pPr>
        <w:spacing w:after="0" w:line="240" w:lineRule="auto"/>
      </w:pPr>
      <w:r>
        <w:separator/>
      </w:r>
    </w:p>
  </w:footnote>
  <w:footnote w:type="continuationSeparator" w:id="0">
    <w:p w14:paraId="5AFDFAEE" w14:textId="77777777" w:rsidR="009C5F71" w:rsidRDefault="009C5F71"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BC3BA" w14:textId="2757528E" w:rsidR="00AB044C" w:rsidRDefault="00C452C3" w:rsidP="00AB044C">
    <w:pPr>
      <w:pStyle w:val="Heading1"/>
    </w:pPr>
    <w:r w:rsidRPr="00C452C3">
      <w:t>Glasgow Coma Scale</w:t>
    </w:r>
    <w:r w:rsidR="00AB044C" w:rsidRPr="00AB044C">
      <w:t xml:space="preserve"> (</w:t>
    </w:r>
    <w:r>
      <w:t>GC</w:t>
    </w:r>
    <w:r w:rsidR="00AB044C" w:rsidRPr="00AB044C">
      <w:t>S)</w:t>
    </w:r>
  </w:p>
  <w:p w14:paraId="5C06D446" w14:textId="6C1D4970" w:rsidR="009247B3" w:rsidRPr="009247B3" w:rsidRDefault="009247B3" w:rsidP="009247B3">
    <w:pPr>
      <w:pStyle w:val="Heading1"/>
      <w:rPr>
        <w:sz w:val="28"/>
      </w:rPr>
    </w:pPr>
    <w:r w:rsidRPr="009247B3">
      <w:rPr>
        <w:sz w:val="28"/>
      </w:rPr>
      <w:t>(18 years and older)</w:t>
    </w:r>
  </w:p>
  <w:p w14:paraId="2B974C76" w14:textId="77777777" w:rsidR="00D627AC" w:rsidRPr="00666DFA" w:rsidRDefault="00D627AC" w:rsidP="00D627AC">
    <w:pPr>
      <w:tabs>
        <w:tab w:val="left" w:pos="7200"/>
      </w:tabs>
    </w:pPr>
    <w:bookmarkStart w:id="1" w:name="OLE_LINK2"/>
    <w:r w:rsidRPr="00666DFA">
      <w:t>[Study Name/ID pre-filled]</w:t>
    </w:r>
    <w:r w:rsidRPr="00666DFA">
      <w:tab/>
      <w:t>Site Name:</w:t>
    </w:r>
  </w:p>
  <w:bookmarkEnd w:id="1"/>
  <w:p w14:paraId="665D1E09"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5949"/>
    <w:multiLevelType w:val="hybridMultilevel"/>
    <w:tmpl w:val="7E643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72033"/>
    <w:multiLevelType w:val="hybridMultilevel"/>
    <w:tmpl w:val="7E643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8632B"/>
    <w:rsid w:val="000A795F"/>
    <w:rsid w:val="000C6A7E"/>
    <w:rsid w:val="000D7A27"/>
    <w:rsid w:val="000F2691"/>
    <w:rsid w:val="00122AA8"/>
    <w:rsid w:val="001417C1"/>
    <w:rsid w:val="001852AE"/>
    <w:rsid w:val="00195CC3"/>
    <w:rsid w:val="001C35F7"/>
    <w:rsid w:val="001F3D7E"/>
    <w:rsid w:val="00227489"/>
    <w:rsid w:val="002515C3"/>
    <w:rsid w:val="00256358"/>
    <w:rsid w:val="00263EC3"/>
    <w:rsid w:val="00286B17"/>
    <w:rsid w:val="002F0AB4"/>
    <w:rsid w:val="002F0F98"/>
    <w:rsid w:val="00316EB5"/>
    <w:rsid w:val="00343B9A"/>
    <w:rsid w:val="00345FC3"/>
    <w:rsid w:val="00376420"/>
    <w:rsid w:val="00386226"/>
    <w:rsid w:val="003A549D"/>
    <w:rsid w:val="003C1D38"/>
    <w:rsid w:val="003D65D1"/>
    <w:rsid w:val="003E5803"/>
    <w:rsid w:val="00407035"/>
    <w:rsid w:val="004158D8"/>
    <w:rsid w:val="00432C1B"/>
    <w:rsid w:val="00463899"/>
    <w:rsid w:val="004940A8"/>
    <w:rsid w:val="00494BC1"/>
    <w:rsid w:val="004A5714"/>
    <w:rsid w:val="004A7633"/>
    <w:rsid w:val="004C1B90"/>
    <w:rsid w:val="004C1BEB"/>
    <w:rsid w:val="004C6C54"/>
    <w:rsid w:val="004D02FB"/>
    <w:rsid w:val="004D52DE"/>
    <w:rsid w:val="004F3713"/>
    <w:rsid w:val="004F5201"/>
    <w:rsid w:val="004F7FBC"/>
    <w:rsid w:val="00593EC7"/>
    <w:rsid w:val="005A2337"/>
    <w:rsid w:val="005B0F2D"/>
    <w:rsid w:val="005D2CD6"/>
    <w:rsid w:val="005D4F9F"/>
    <w:rsid w:val="00620ECB"/>
    <w:rsid w:val="0062775C"/>
    <w:rsid w:val="00632B37"/>
    <w:rsid w:val="00647AA3"/>
    <w:rsid w:val="006712E4"/>
    <w:rsid w:val="006846C6"/>
    <w:rsid w:val="006913A3"/>
    <w:rsid w:val="006A1A67"/>
    <w:rsid w:val="006A5E09"/>
    <w:rsid w:val="006A6F2E"/>
    <w:rsid w:val="006D3ABF"/>
    <w:rsid w:val="00707E69"/>
    <w:rsid w:val="007431AB"/>
    <w:rsid w:val="00771921"/>
    <w:rsid w:val="00772FE3"/>
    <w:rsid w:val="007C4A5E"/>
    <w:rsid w:val="007D1B4D"/>
    <w:rsid w:val="007D2B04"/>
    <w:rsid w:val="007F2862"/>
    <w:rsid w:val="007F782E"/>
    <w:rsid w:val="00803565"/>
    <w:rsid w:val="00833ACC"/>
    <w:rsid w:val="00876F3A"/>
    <w:rsid w:val="008B0092"/>
    <w:rsid w:val="008B38EF"/>
    <w:rsid w:val="008B4BA4"/>
    <w:rsid w:val="008C2CDA"/>
    <w:rsid w:val="008D5EF4"/>
    <w:rsid w:val="008E022E"/>
    <w:rsid w:val="009247B3"/>
    <w:rsid w:val="00987410"/>
    <w:rsid w:val="00994904"/>
    <w:rsid w:val="009C2F84"/>
    <w:rsid w:val="009C5F71"/>
    <w:rsid w:val="00A0216C"/>
    <w:rsid w:val="00A04577"/>
    <w:rsid w:val="00A06AD4"/>
    <w:rsid w:val="00A4062C"/>
    <w:rsid w:val="00A763DE"/>
    <w:rsid w:val="00A80C33"/>
    <w:rsid w:val="00AB044C"/>
    <w:rsid w:val="00AB6C15"/>
    <w:rsid w:val="00AF741D"/>
    <w:rsid w:val="00AF7B41"/>
    <w:rsid w:val="00B0711E"/>
    <w:rsid w:val="00B21B2C"/>
    <w:rsid w:val="00B246E6"/>
    <w:rsid w:val="00B855D8"/>
    <w:rsid w:val="00B85F1E"/>
    <w:rsid w:val="00BC2FE8"/>
    <w:rsid w:val="00BC4847"/>
    <w:rsid w:val="00BD0BFF"/>
    <w:rsid w:val="00BF0B79"/>
    <w:rsid w:val="00C24C1C"/>
    <w:rsid w:val="00C452C3"/>
    <w:rsid w:val="00C62123"/>
    <w:rsid w:val="00C807FF"/>
    <w:rsid w:val="00C85C5E"/>
    <w:rsid w:val="00C87CD7"/>
    <w:rsid w:val="00CB340C"/>
    <w:rsid w:val="00CB355C"/>
    <w:rsid w:val="00CC1886"/>
    <w:rsid w:val="00CE2B18"/>
    <w:rsid w:val="00CF0F58"/>
    <w:rsid w:val="00D408B8"/>
    <w:rsid w:val="00D50A2A"/>
    <w:rsid w:val="00D55725"/>
    <w:rsid w:val="00D627AC"/>
    <w:rsid w:val="00DC4C50"/>
    <w:rsid w:val="00DD216D"/>
    <w:rsid w:val="00DE0212"/>
    <w:rsid w:val="00DF286B"/>
    <w:rsid w:val="00DF4C87"/>
    <w:rsid w:val="00E0618A"/>
    <w:rsid w:val="00E70B41"/>
    <w:rsid w:val="00E73654"/>
    <w:rsid w:val="00E8163C"/>
    <w:rsid w:val="00E8602E"/>
    <w:rsid w:val="00EA1759"/>
    <w:rsid w:val="00EA31C1"/>
    <w:rsid w:val="00ED4268"/>
    <w:rsid w:val="00EE3D00"/>
    <w:rsid w:val="00F1051C"/>
    <w:rsid w:val="00F2167B"/>
    <w:rsid w:val="00F24D55"/>
    <w:rsid w:val="00F4692D"/>
    <w:rsid w:val="00FA5149"/>
    <w:rsid w:val="00FC08EF"/>
    <w:rsid w:val="00FE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E02C"/>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HTMLPreformatted">
    <w:name w:val="HTML Preformatted"/>
    <w:basedOn w:val="Normal"/>
    <w:link w:val="HTMLPreformattedChar"/>
    <w:uiPriority w:val="99"/>
    <w:semiHidden/>
    <w:unhideWhenUsed/>
    <w:rsid w:val="004A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633"/>
    <w:rPr>
      <w:rFonts w:ascii="Courier New" w:eastAsia="Times New Roman" w:hAnsi="Courier New" w:cs="Courier New"/>
      <w:sz w:val="20"/>
      <w:szCs w:val="20"/>
    </w:rPr>
  </w:style>
  <w:style w:type="character" w:styleId="HTMLCode">
    <w:name w:val="HTML Code"/>
    <w:basedOn w:val="DefaultParagraphFont"/>
    <w:uiPriority w:val="99"/>
    <w:semiHidden/>
    <w:unhideWhenUsed/>
    <w:rsid w:val="004A7633"/>
    <w:rPr>
      <w:rFonts w:ascii="Courier New" w:eastAsia="Times New Roman" w:hAnsi="Courier New" w:cs="Courier New"/>
      <w:sz w:val="20"/>
      <w:szCs w:val="20"/>
    </w:rPr>
  </w:style>
  <w:style w:type="paragraph" w:styleId="NormalWeb">
    <w:name w:val="Normal (Web)"/>
    <w:basedOn w:val="Normal"/>
    <w:uiPriority w:val="99"/>
    <w:unhideWhenUsed/>
    <w:rsid w:val="004A7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C6C5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C2F84"/>
    <w:rPr>
      <w:i/>
      <w:iCs/>
    </w:rPr>
  </w:style>
  <w:style w:type="character" w:customStyle="1" w:styleId="UnresolvedMention1">
    <w:name w:val="Unresolved Mention1"/>
    <w:basedOn w:val="DefaultParagraphFont"/>
    <w:uiPriority w:val="99"/>
    <w:semiHidden/>
    <w:unhideWhenUsed/>
    <w:rsid w:val="00DF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49774">
      <w:bodyDiv w:val="1"/>
      <w:marLeft w:val="0"/>
      <w:marRight w:val="0"/>
      <w:marTop w:val="0"/>
      <w:marBottom w:val="0"/>
      <w:divBdr>
        <w:top w:val="none" w:sz="0" w:space="0" w:color="auto"/>
        <w:left w:val="none" w:sz="0" w:space="0" w:color="auto"/>
        <w:bottom w:val="none" w:sz="0" w:space="0" w:color="auto"/>
        <w:right w:val="none" w:sz="0" w:space="0" w:color="auto"/>
      </w:divBdr>
      <w:divsChild>
        <w:div w:id="28577540">
          <w:marLeft w:val="0"/>
          <w:marRight w:val="0"/>
          <w:marTop w:val="0"/>
          <w:marBottom w:val="0"/>
          <w:divBdr>
            <w:top w:val="none" w:sz="0" w:space="0" w:color="auto"/>
            <w:left w:val="none" w:sz="0" w:space="0" w:color="auto"/>
            <w:bottom w:val="none" w:sz="0" w:space="0" w:color="auto"/>
            <w:right w:val="none" w:sz="0" w:space="0" w:color="auto"/>
          </w:divBdr>
          <w:divsChild>
            <w:div w:id="2116365905">
              <w:marLeft w:val="0"/>
              <w:marRight w:val="0"/>
              <w:marTop w:val="0"/>
              <w:marBottom w:val="0"/>
              <w:divBdr>
                <w:top w:val="none" w:sz="0" w:space="0" w:color="auto"/>
                <w:left w:val="none" w:sz="0" w:space="0" w:color="auto"/>
                <w:bottom w:val="none" w:sz="0" w:space="0" w:color="auto"/>
                <w:right w:val="none" w:sz="0" w:space="0" w:color="auto"/>
              </w:divBdr>
              <w:divsChild>
                <w:div w:id="292954524">
                  <w:marLeft w:val="0"/>
                  <w:marRight w:val="0"/>
                  <w:marTop w:val="0"/>
                  <w:marBottom w:val="0"/>
                  <w:divBdr>
                    <w:top w:val="none" w:sz="0" w:space="0" w:color="auto"/>
                    <w:left w:val="none" w:sz="0" w:space="0" w:color="auto"/>
                    <w:bottom w:val="none" w:sz="0" w:space="0" w:color="auto"/>
                    <w:right w:val="none" w:sz="0" w:space="0" w:color="auto"/>
                  </w:divBdr>
                  <w:divsChild>
                    <w:div w:id="10188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7425">
      <w:bodyDiv w:val="1"/>
      <w:marLeft w:val="0"/>
      <w:marRight w:val="0"/>
      <w:marTop w:val="0"/>
      <w:marBottom w:val="0"/>
      <w:divBdr>
        <w:top w:val="none" w:sz="0" w:space="0" w:color="auto"/>
        <w:left w:val="none" w:sz="0" w:space="0" w:color="auto"/>
        <w:bottom w:val="none" w:sz="0" w:space="0" w:color="auto"/>
        <w:right w:val="none" w:sz="0" w:space="0" w:color="auto"/>
      </w:divBdr>
    </w:div>
    <w:div w:id="1042560376">
      <w:bodyDiv w:val="1"/>
      <w:marLeft w:val="0"/>
      <w:marRight w:val="0"/>
      <w:marTop w:val="0"/>
      <w:marBottom w:val="0"/>
      <w:divBdr>
        <w:top w:val="none" w:sz="0" w:space="0" w:color="auto"/>
        <w:left w:val="none" w:sz="0" w:space="0" w:color="auto"/>
        <w:bottom w:val="none" w:sz="0" w:space="0" w:color="auto"/>
        <w:right w:val="none" w:sz="0" w:space="0" w:color="auto"/>
      </w:divBdr>
      <w:divsChild>
        <w:div w:id="1077094755">
          <w:marLeft w:val="0"/>
          <w:marRight w:val="0"/>
          <w:marTop w:val="0"/>
          <w:marBottom w:val="0"/>
          <w:divBdr>
            <w:top w:val="none" w:sz="0" w:space="0" w:color="auto"/>
            <w:left w:val="none" w:sz="0" w:space="0" w:color="auto"/>
            <w:bottom w:val="none" w:sz="0" w:space="0" w:color="auto"/>
            <w:right w:val="none" w:sz="0" w:space="0" w:color="auto"/>
          </w:divBdr>
          <w:divsChild>
            <w:div w:id="1360664175">
              <w:marLeft w:val="0"/>
              <w:marRight w:val="0"/>
              <w:marTop w:val="0"/>
              <w:marBottom w:val="0"/>
              <w:divBdr>
                <w:top w:val="none" w:sz="0" w:space="0" w:color="auto"/>
                <w:left w:val="none" w:sz="0" w:space="0" w:color="auto"/>
                <w:bottom w:val="none" w:sz="0" w:space="0" w:color="auto"/>
                <w:right w:val="none" w:sz="0" w:space="0" w:color="auto"/>
              </w:divBdr>
              <w:divsChild>
                <w:div w:id="1924489952">
                  <w:marLeft w:val="0"/>
                  <w:marRight w:val="0"/>
                  <w:marTop w:val="0"/>
                  <w:marBottom w:val="0"/>
                  <w:divBdr>
                    <w:top w:val="none" w:sz="0" w:space="0" w:color="auto"/>
                    <w:left w:val="none" w:sz="0" w:space="0" w:color="auto"/>
                    <w:bottom w:val="none" w:sz="0" w:space="0" w:color="auto"/>
                    <w:right w:val="none" w:sz="0" w:space="0" w:color="auto"/>
                  </w:divBdr>
                  <w:divsChild>
                    <w:div w:id="15408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5377">
      <w:bodyDiv w:val="1"/>
      <w:marLeft w:val="0"/>
      <w:marRight w:val="0"/>
      <w:marTop w:val="0"/>
      <w:marBottom w:val="0"/>
      <w:divBdr>
        <w:top w:val="none" w:sz="0" w:space="0" w:color="auto"/>
        <w:left w:val="none" w:sz="0" w:space="0" w:color="auto"/>
        <w:bottom w:val="none" w:sz="0" w:space="0" w:color="auto"/>
        <w:right w:val="none" w:sz="0" w:space="0" w:color="auto"/>
      </w:divBdr>
      <w:divsChild>
        <w:div w:id="685330923">
          <w:marLeft w:val="0"/>
          <w:marRight w:val="0"/>
          <w:marTop w:val="0"/>
          <w:marBottom w:val="0"/>
          <w:divBdr>
            <w:top w:val="none" w:sz="0" w:space="0" w:color="auto"/>
            <w:left w:val="none" w:sz="0" w:space="0" w:color="auto"/>
            <w:bottom w:val="none" w:sz="0" w:space="0" w:color="auto"/>
            <w:right w:val="none" w:sz="0" w:space="0" w:color="auto"/>
          </w:divBdr>
          <w:divsChild>
            <w:div w:id="512693324">
              <w:marLeft w:val="0"/>
              <w:marRight w:val="0"/>
              <w:marTop w:val="0"/>
              <w:marBottom w:val="0"/>
              <w:divBdr>
                <w:top w:val="none" w:sz="0" w:space="0" w:color="auto"/>
                <w:left w:val="none" w:sz="0" w:space="0" w:color="auto"/>
                <w:bottom w:val="none" w:sz="0" w:space="0" w:color="auto"/>
                <w:right w:val="none" w:sz="0" w:space="0" w:color="auto"/>
              </w:divBdr>
              <w:divsChild>
                <w:div w:id="373507671">
                  <w:marLeft w:val="0"/>
                  <w:marRight w:val="0"/>
                  <w:marTop w:val="0"/>
                  <w:marBottom w:val="0"/>
                  <w:divBdr>
                    <w:top w:val="none" w:sz="0" w:space="0" w:color="auto"/>
                    <w:left w:val="none" w:sz="0" w:space="0" w:color="auto"/>
                    <w:bottom w:val="none" w:sz="0" w:space="0" w:color="auto"/>
                    <w:right w:val="none" w:sz="0" w:space="0" w:color="auto"/>
                  </w:divBdr>
                  <w:divsChild>
                    <w:div w:id="142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Glasgow Coma Scale</vt:lpstr>
    </vt:vector>
  </TitlesOfParts>
  <Manager/>
  <Company/>
  <LinksUpToDate>false</LinksUpToDate>
  <CharactersWithSpaces>1715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Coma Scale</dc:title>
  <dc:subject/>
  <dc:creator>Jia-Wen Guo</dc:creator>
  <cp:keywords>GCS</cp:keywords>
  <dc:description/>
  <cp:lastModifiedBy>Carolyn Conlin</cp:lastModifiedBy>
  <cp:revision>3</cp:revision>
  <dcterms:created xsi:type="dcterms:W3CDTF">2020-04-24T16:26:00Z</dcterms:created>
  <dcterms:modified xsi:type="dcterms:W3CDTF">2023-12-18T16:29:00Z</dcterms:modified>
  <cp:category/>
</cp:coreProperties>
</file>